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6B" w:rsidRPr="00B7596B" w:rsidRDefault="00B7596B" w:rsidP="00B7596B">
      <w:pPr>
        <w:pStyle w:val="Kop1"/>
        <w:numPr>
          <w:ilvl w:val="0"/>
          <w:numId w:val="0"/>
        </w:numPr>
        <w:ind w:left="397" w:hanging="397"/>
        <w:rPr>
          <w:sz w:val="56"/>
          <w:szCs w:val="56"/>
        </w:rPr>
      </w:pPr>
      <w:bookmarkStart w:id="0" w:name="_Toc336588230"/>
      <w:r w:rsidRPr="00B7596B">
        <w:rPr>
          <w:sz w:val="56"/>
          <w:szCs w:val="56"/>
        </w:rPr>
        <w:t>+boeken</w:t>
      </w:r>
      <w:bookmarkEnd w:id="0"/>
    </w:p>
    <w:p w:rsidR="00B7596B" w:rsidRDefault="00B7596B" w:rsidP="00B7596B">
      <w:pPr>
        <w:pStyle w:val="Kop2"/>
        <w:numPr>
          <w:ilvl w:val="0"/>
          <w:numId w:val="0"/>
        </w:numPr>
        <w:ind w:left="397" w:hanging="397"/>
      </w:pPr>
    </w:p>
    <w:p w:rsidR="00B7596B" w:rsidRDefault="00B7596B" w:rsidP="00B7596B">
      <w:pPr>
        <w:pStyle w:val="Kop2"/>
        <w:numPr>
          <w:ilvl w:val="0"/>
          <w:numId w:val="0"/>
        </w:numPr>
        <w:ind w:left="397" w:hanging="397"/>
      </w:pPr>
    </w:p>
    <w:p w:rsidR="00B7596B" w:rsidRDefault="00B7596B" w:rsidP="00B7596B">
      <w:pPr>
        <w:pStyle w:val="Kop2"/>
        <w:numPr>
          <w:ilvl w:val="0"/>
          <w:numId w:val="0"/>
        </w:numPr>
        <w:ind w:left="397" w:hanging="397"/>
      </w:pPr>
    </w:p>
    <w:p w:rsidR="00B7596B" w:rsidRDefault="00B7596B" w:rsidP="00B7596B">
      <w:pPr>
        <w:pStyle w:val="Kop2"/>
        <w:numPr>
          <w:ilvl w:val="0"/>
          <w:numId w:val="0"/>
        </w:numPr>
        <w:ind w:left="397" w:hanging="397"/>
      </w:pPr>
    </w:p>
    <w:p w:rsidR="00B7596B" w:rsidRDefault="00B7596B" w:rsidP="00B7596B">
      <w:pPr>
        <w:pStyle w:val="Kop2"/>
        <w:numPr>
          <w:ilvl w:val="0"/>
          <w:numId w:val="0"/>
        </w:numPr>
        <w:ind w:left="397" w:hanging="397"/>
      </w:pPr>
    </w:p>
    <w:p w:rsidR="00B7596B" w:rsidRDefault="00B7596B" w:rsidP="00B7596B">
      <w:pPr>
        <w:pStyle w:val="Kop2"/>
        <w:numPr>
          <w:ilvl w:val="0"/>
          <w:numId w:val="0"/>
        </w:numPr>
        <w:ind w:left="397" w:hanging="397"/>
      </w:pPr>
    </w:p>
    <w:p w:rsidR="00B7596B" w:rsidRDefault="00B7596B" w:rsidP="00B7596B">
      <w:pPr>
        <w:pStyle w:val="Kop2"/>
        <w:numPr>
          <w:ilvl w:val="0"/>
          <w:numId w:val="0"/>
        </w:numPr>
        <w:ind w:left="397" w:hanging="397"/>
      </w:pPr>
    </w:p>
    <w:p w:rsidR="00B7596B" w:rsidRPr="003626EB" w:rsidRDefault="00B7596B" w:rsidP="00B7596B">
      <w:pPr>
        <w:pStyle w:val="Kop2"/>
        <w:numPr>
          <w:ilvl w:val="0"/>
          <w:numId w:val="0"/>
        </w:numPr>
        <w:ind w:left="397" w:hanging="397"/>
      </w:pPr>
      <w:r>
        <w:t>Inkoopkortingen Nederlandse en buitenlandse boeken</w:t>
      </w:r>
    </w:p>
    <w:p w:rsidR="00B7596B" w:rsidRPr="00B64752" w:rsidRDefault="00B7596B" w:rsidP="00B7596B">
      <w:pPr>
        <w:rPr>
          <w:rFonts w:eastAsia="Times New Roman"/>
          <w:bCs/>
          <w:color w:val="24406E"/>
          <w:sz w:val="19"/>
        </w:rPr>
      </w:pPr>
    </w:p>
    <w:p w:rsidR="00B7596B" w:rsidRPr="00B64752" w:rsidRDefault="00B7596B" w:rsidP="00B7596B">
      <w:pPr>
        <w:rPr>
          <w:rFonts w:eastAsia="Times New Roman"/>
          <w:bCs/>
          <w:i/>
          <w:color w:val="24406E"/>
          <w:sz w:val="19"/>
        </w:rPr>
      </w:pPr>
      <w:r w:rsidRPr="00B64752">
        <w:rPr>
          <w:rFonts w:eastAsia="Times New Roman"/>
          <w:bCs/>
          <w:i/>
          <w:color w:val="24406E"/>
          <w:sz w:val="19"/>
        </w:rPr>
        <w:t>Nederlandse boeken</w:t>
      </w:r>
    </w:p>
    <w:p w:rsidR="00B7596B" w:rsidRPr="00B64752" w:rsidRDefault="00B7596B" w:rsidP="00B7596B">
      <w:pPr>
        <w:rPr>
          <w:rFonts w:eastAsia="Times New Roman"/>
          <w:bCs/>
          <w:color w:val="24406E"/>
          <w:sz w:val="19"/>
        </w:rPr>
      </w:pPr>
      <w:r w:rsidRPr="00B64752">
        <w:rPr>
          <w:rFonts w:eastAsia="Times New Roman"/>
          <w:bCs/>
          <w:color w:val="24406E"/>
          <w:sz w:val="19"/>
        </w:rPr>
        <w:t>Op boeken van Nederlandse uitgeverijen die u via CB bestelt</w:t>
      </w:r>
      <w:r>
        <w:rPr>
          <w:rFonts w:eastAsia="Times New Roman"/>
          <w:bCs/>
          <w:color w:val="24406E"/>
          <w:sz w:val="19"/>
        </w:rPr>
        <w:t>,</w:t>
      </w:r>
      <w:r w:rsidRPr="00B64752">
        <w:rPr>
          <w:rFonts w:eastAsia="Times New Roman"/>
          <w:bCs/>
          <w:color w:val="24406E"/>
          <w:sz w:val="19"/>
        </w:rPr>
        <w:t xml:space="preserve"> ontvangt u handelsmarges</w:t>
      </w:r>
      <w:r>
        <w:rPr>
          <w:rFonts w:eastAsia="Times New Roman"/>
          <w:bCs/>
          <w:color w:val="24406E"/>
          <w:sz w:val="19"/>
        </w:rPr>
        <w:t xml:space="preserve"> die binnen de boekensector collectief zijn vastgesteld (</w:t>
      </w:r>
      <w:r w:rsidRPr="00B64752">
        <w:rPr>
          <w:rFonts w:eastAsia="Times New Roman"/>
          <w:bCs/>
          <w:color w:val="24406E"/>
          <w:sz w:val="19"/>
        </w:rPr>
        <w:t>kortingen</w:t>
      </w:r>
      <w:r>
        <w:rPr>
          <w:rFonts w:eastAsia="Times New Roman"/>
          <w:bCs/>
          <w:color w:val="24406E"/>
          <w:sz w:val="19"/>
        </w:rPr>
        <w:t>)</w:t>
      </w:r>
      <w:r w:rsidRPr="00B64752">
        <w:rPr>
          <w:rFonts w:eastAsia="Times New Roman"/>
          <w:bCs/>
          <w:color w:val="24406E"/>
          <w:sz w:val="19"/>
        </w:rPr>
        <w:t>. CB bepaalt deze kortingen niet zelf, maar zorg</w:t>
      </w:r>
      <w:r>
        <w:rPr>
          <w:rFonts w:eastAsia="Times New Roman"/>
          <w:bCs/>
          <w:color w:val="24406E"/>
          <w:sz w:val="19"/>
        </w:rPr>
        <w:t>t</w:t>
      </w:r>
      <w:r w:rsidRPr="00B64752">
        <w:rPr>
          <w:rFonts w:eastAsia="Times New Roman"/>
          <w:bCs/>
          <w:color w:val="24406E"/>
          <w:sz w:val="19"/>
        </w:rPr>
        <w:t xml:space="preserve"> voor </w:t>
      </w:r>
      <w:r>
        <w:rPr>
          <w:rFonts w:eastAsia="Times New Roman"/>
          <w:bCs/>
          <w:color w:val="24406E"/>
          <w:sz w:val="19"/>
        </w:rPr>
        <w:t xml:space="preserve">de </w:t>
      </w:r>
      <w:r w:rsidRPr="00B64752">
        <w:rPr>
          <w:rFonts w:eastAsia="Times New Roman"/>
          <w:bCs/>
          <w:color w:val="24406E"/>
          <w:sz w:val="19"/>
        </w:rPr>
        <w:t xml:space="preserve">uitvoering van deze kortingsafspraken bij de levering en facturatie van uw bestelling. </w:t>
      </w:r>
    </w:p>
    <w:p w:rsidR="00B7596B" w:rsidRPr="00B64752" w:rsidRDefault="00B7596B" w:rsidP="00B7596B">
      <w:pPr>
        <w:rPr>
          <w:rFonts w:eastAsia="Times New Roman"/>
          <w:bCs/>
          <w:color w:val="24406E"/>
          <w:sz w:val="19"/>
        </w:rPr>
      </w:pPr>
    </w:p>
    <w:p w:rsidR="00B7596B" w:rsidRPr="00B64752" w:rsidRDefault="00B7596B" w:rsidP="00B7596B">
      <w:pPr>
        <w:rPr>
          <w:rFonts w:eastAsia="Times New Roman"/>
          <w:bCs/>
          <w:color w:val="24406E"/>
          <w:sz w:val="19"/>
        </w:rPr>
      </w:pPr>
      <w:r w:rsidRPr="00B64752">
        <w:rPr>
          <w:rFonts w:eastAsia="Times New Roman"/>
          <w:bCs/>
          <w:color w:val="24406E"/>
          <w:sz w:val="19"/>
        </w:rPr>
        <w:t xml:space="preserve">De marges zijn afhankelijk van de </w:t>
      </w:r>
      <w:r>
        <w:rPr>
          <w:rFonts w:eastAsia="Times New Roman"/>
          <w:bCs/>
          <w:color w:val="24406E"/>
          <w:sz w:val="19"/>
        </w:rPr>
        <w:t xml:space="preserve">zogenaamde </w:t>
      </w:r>
      <w:r w:rsidRPr="00B64752">
        <w:rPr>
          <w:rFonts w:eastAsia="Times New Roman"/>
          <w:bCs/>
          <w:color w:val="24406E"/>
          <w:sz w:val="19"/>
        </w:rPr>
        <w:t>boeksoort die de uitgever aan de titel heeft toegekend.</w:t>
      </w:r>
    </w:p>
    <w:p w:rsidR="00B7596B" w:rsidRPr="00B64752" w:rsidRDefault="00B7596B" w:rsidP="00B7596B">
      <w:pPr>
        <w:rPr>
          <w:rFonts w:eastAsia="Times New Roman"/>
          <w:bCs/>
          <w:color w:val="24406E"/>
          <w:sz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7"/>
        <w:gridCol w:w="4637"/>
      </w:tblGrid>
      <w:tr w:rsidR="00B7596B" w:rsidRPr="00B7596B" w:rsidTr="00B7596B">
        <w:tc>
          <w:tcPr>
            <w:tcW w:w="2797" w:type="dxa"/>
          </w:tcPr>
          <w:p w:rsidR="00B7596B" w:rsidRPr="00B7596B" w:rsidRDefault="00B7596B" w:rsidP="000058A6">
            <w:pPr>
              <w:rPr>
                <w:rFonts w:eastAsia="Times New Roman"/>
                <w:bCs/>
                <w:i/>
                <w:color w:val="000000"/>
                <w:sz w:val="16"/>
                <w:szCs w:val="16"/>
              </w:rPr>
            </w:pPr>
            <w:r w:rsidRPr="00B7596B">
              <w:rPr>
                <w:rFonts w:eastAsia="Times New Roman"/>
                <w:bCs/>
                <w:i/>
                <w:color w:val="000000"/>
                <w:sz w:val="16"/>
                <w:szCs w:val="16"/>
              </w:rPr>
              <w:t>Boeksoort</w:t>
            </w:r>
          </w:p>
        </w:tc>
        <w:tc>
          <w:tcPr>
            <w:tcW w:w="4637" w:type="dxa"/>
          </w:tcPr>
          <w:p w:rsidR="00B7596B" w:rsidRPr="00B7596B" w:rsidRDefault="00B7596B" w:rsidP="000058A6">
            <w:pPr>
              <w:rPr>
                <w:rFonts w:eastAsia="Times New Roman"/>
                <w:bCs/>
                <w:i/>
                <w:color w:val="000000"/>
                <w:sz w:val="16"/>
                <w:szCs w:val="16"/>
              </w:rPr>
            </w:pPr>
            <w:r w:rsidRPr="00B7596B">
              <w:rPr>
                <w:rFonts w:eastAsia="Times New Roman"/>
                <w:bCs/>
                <w:i/>
                <w:color w:val="000000"/>
                <w:sz w:val="16"/>
                <w:szCs w:val="16"/>
              </w:rPr>
              <w:t>Uw korting</w:t>
            </w:r>
          </w:p>
        </w:tc>
      </w:tr>
      <w:tr w:rsidR="00B7596B" w:rsidRPr="00B7596B" w:rsidTr="00B7596B">
        <w:tc>
          <w:tcPr>
            <w:tcW w:w="2797" w:type="dxa"/>
          </w:tcPr>
          <w:p w:rsidR="00B7596B" w:rsidRPr="00B7596B" w:rsidRDefault="00B7596B" w:rsidP="000058A6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7596B">
              <w:rPr>
                <w:rFonts w:eastAsia="Times New Roman"/>
                <w:bCs/>
                <w:color w:val="000000"/>
                <w:sz w:val="16"/>
                <w:szCs w:val="16"/>
              </w:rPr>
              <w:t>Algemeen boek (A)</w:t>
            </w:r>
          </w:p>
        </w:tc>
        <w:tc>
          <w:tcPr>
            <w:tcW w:w="4637" w:type="dxa"/>
          </w:tcPr>
          <w:p w:rsidR="00B7596B" w:rsidRPr="00B7596B" w:rsidRDefault="00B7596B" w:rsidP="000058A6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7596B">
              <w:rPr>
                <w:rFonts w:eastAsia="Times New Roman"/>
                <w:bCs/>
                <w:color w:val="000000"/>
                <w:sz w:val="16"/>
                <w:szCs w:val="16"/>
              </w:rPr>
              <w:t>42%</w:t>
            </w:r>
          </w:p>
        </w:tc>
      </w:tr>
      <w:tr w:rsidR="00B7596B" w:rsidRPr="00B7596B" w:rsidTr="00B7596B">
        <w:tc>
          <w:tcPr>
            <w:tcW w:w="2797" w:type="dxa"/>
          </w:tcPr>
          <w:p w:rsidR="00B7596B" w:rsidRPr="00B7596B" w:rsidRDefault="00B7596B" w:rsidP="000058A6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7596B">
              <w:rPr>
                <w:rFonts w:eastAsia="Times New Roman"/>
                <w:bCs/>
                <w:color w:val="000000"/>
                <w:sz w:val="16"/>
                <w:szCs w:val="16"/>
              </w:rPr>
              <w:t>Wetenschappelijk boek (W)</w:t>
            </w:r>
          </w:p>
        </w:tc>
        <w:tc>
          <w:tcPr>
            <w:tcW w:w="4637" w:type="dxa"/>
          </w:tcPr>
          <w:p w:rsidR="00B7596B" w:rsidRPr="00B7596B" w:rsidRDefault="00B7596B" w:rsidP="000058A6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7596B">
              <w:rPr>
                <w:rFonts w:eastAsia="Times New Roman"/>
                <w:bCs/>
                <w:color w:val="000000"/>
                <w:sz w:val="16"/>
                <w:szCs w:val="16"/>
              </w:rPr>
              <w:t>afhankelijk van boekprijs:</w:t>
            </w:r>
          </w:p>
          <w:p w:rsidR="00B7596B" w:rsidRPr="00B7596B" w:rsidRDefault="00B7596B" w:rsidP="000058A6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7596B">
              <w:rPr>
                <w:rFonts w:eastAsia="Times New Roman" w:cs="Arial"/>
                <w:bCs/>
                <w:color w:val="000000"/>
                <w:sz w:val="16"/>
                <w:szCs w:val="16"/>
              </w:rPr>
              <w:t>•</w:t>
            </w:r>
            <w:r w:rsidRPr="00B7596B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tot en met € </w:t>
            </w:r>
            <w:r w:rsidR="00CC23A4">
              <w:rPr>
                <w:rFonts w:eastAsia="Times New Roman"/>
                <w:bCs/>
                <w:color w:val="000000"/>
                <w:sz w:val="16"/>
                <w:szCs w:val="16"/>
              </w:rPr>
              <w:t>25</w:t>
            </w:r>
            <w:r w:rsidRPr="00B7596B">
              <w:rPr>
                <w:rFonts w:eastAsia="Times New Roman"/>
                <w:bCs/>
                <w:color w:val="000000"/>
                <w:sz w:val="16"/>
                <w:szCs w:val="16"/>
              </w:rPr>
              <w:t>,</w:t>
            </w:r>
            <w:r w:rsidR="00CC23A4">
              <w:rPr>
                <w:rFonts w:eastAsia="Times New Roman"/>
                <w:bCs/>
                <w:color w:val="000000"/>
                <w:sz w:val="16"/>
                <w:szCs w:val="16"/>
              </w:rPr>
              <w:t>32</w:t>
            </w:r>
            <w:r w:rsidRPr="00B7596B">
              <w:rPr>
                <w:rFonts w:eastAsia="Times New Roman"/>
                <w:bCs/>
                <w:color w:val="000000"/>
                <w:sz w:val="16"/>
                <w:szCs w:val="16"/>
              </w:rPr>
              <w:t>:                30,19%</w:t>
            </w:r>
          </w:p>
          <w:p w:rsidR="00B7596B" w:rsidRPr="00B7596B" w:rsidRDefault="00B7596B" w:rsidP="000058A6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7596B">
              <w:rPr>
                <w:rFonts w:eastAsia="Times New Roman" w:cs="Arial"/>
                <w:bCs/>
                <w:color w:val="000000"/>
                <w:sz w:val="16"/>
                <w:szCs w:val="16"/>
              </w:rPr>
              <w:t>•</w:t>
            </w:r>
            <w:r w:rsidRPr="00B7596B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€ </w:t>
            </w:r>
            <w:r w:rsidR="00CC23A4">
              <w:rPr>
                <w:rFonts w:eastAsia="Times New Roman"/>
                <w:bCs/>
                <w:color w:val="000000"/>
                <w:sz w:val="16"/>
                <w:szCs w:val="16"/>
              </w:rPr>
              <w:t>25</w:t>
            </w:r>
            <w:r w:rsidRPr="00B7596B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,73 </w:t>
            </w:r>
            <w:r w:rsidR="00CC23A4">
              <w:rPr>
                <w:rFonts w:eastAsia="Times New Roman"/>
                <w:bCs/>
                <w:color w:val="000000"/>
                <w:sz w:val="16"/>
                <w:szCs w:val="16"/>
              </w:rPr>
              <w:t>33</w:t>
            </w:r>
            <w:r w:rsidRPr="00B7596B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en met € </w:t>
            </w:r>
            <w:r w:rsidR="00CC23A4">
              <w:rPr>
                <w:rFonts w:eastAsia="Times New Roman"/>
                <w:bCs/>
                <w:color w:val="000000"/>
                <w:sz w:val="16"/>
                <w:szCs w:val="16"/>
              </w:rPr>
              <w:t>49</w:t>
            </w:r>
            <w:r w:rsidRPr="00B7596B">
              <w:rPr>
                <w:rFonts w:eastAsia="Times New Roman"/>
                <w:bCs/>
                <w:color w:val="000000"/>
                <w:sz w:val="16"/>
                <w:szCs w:val="16"/>
              </w:rPr>
              <w:t>,</w:t>
            </w:r>
            <w:r w:rsidR="00CC23A4">
              <w:rPr>
                <w:rFonts w:eastAsia="Times New Roman"/>
                <w:bCs/>
                <w:color w:val="000000"/>
                <w:sz w:val="16"/>
                <w:szCs w:val="16"/>
              </w:rPr>
              <w:t>74</w:t>
            </w:r>
            <w:r w:rsidRPr="00B7596B">
              <w:rPr>
                <w:rFonts w:eastAsia="Times New Roman"/>
                <w:bCs/>
                <w:color w:val="000000"/>
                <w:sz w:val="16"/>
                <w:szCs w:val="16"/>
              </w:rPr>
              <w:t>:   29,19%</w:t>
            </w:r>
          </w:p>
          <w:p w:rsidR="00B7596B" w:rsidRPr="00B7596B" w:rsidRDefault="00B7596B" w:rsidP="00CC23A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7596B">
              <w:rPr>
                <w:rFonts w:eastAsia="Times New Roman" w:cs="Arial"/>
                <w:bCs/>
                <w:color w:val="000000"/>
                <w:sz w:val="16"/>
                <w:szCs w:val="16"/>
              </w:rPr>
              <w:t>•</w:t>
            </w:r>
            <w:r w:rsidRPr="00B7596B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vanaf € </w:t>
            </w:r>
            <w:r w:rsidR="00CC23A4">
              <w:rPr>
                <w:rFonts w:eastAsia="Times New Roman"/>
                <w:bCs/>
                <w:color w:val="000000"/>
                <w:sz w:val="16"/>
                <w:szCs w:val="16"/>
              </w:rPr>
              <w:t>49</w:t>
            </w:r>
            <w:r w:rsidRPr="00B7596B">
              <w:rPr>
                <w:rFonts w:eastAsia="Times New Roman"/>
                <w:bCs/>
                <w:color w:val="000000"/>
                <w:sz w:val="16"/>
                <w:szCs w:val="16"/>
              </w:rPr>
              <w:t>,</w:t>
            </w:r>
            <w:r w:rsidR="00CC23A4">
              <w:rPr>
                <w:rFonts w:eastAsia="Times New Roman"/>
                <w:bCs/>
                <w:color w:val="000000"/>
                <w:sz w:val="16"/>
                <w:szCs w:val="16"/>
              </w:rPr>
              <w:t>75</w:t>
            </w:r>
            <w:r w:rsidRPr="00B7596B">
              <w:rPr>
                <w:rFonts w:eastAsia="Times New Roman"/>
                <w:bCs/>
                <w:color w:val="000000"/>
                <w:sz w:val="16"/>
                <w:szCs w:val="16"/>
              </w:rPr>
              <w:t>:                       27,19%</w:t>
            </w:r>
          </w:p>
        </w:tc>
      </w:tr>
      <w:tr w:rsidR="00B7596B" w:rsidRPr="00B7596B" w:rsidTr="00B7596B">
        <w:tc>
          <w:tcPr>
            <w:tcW w:w="2797" w:type="dxa"/>
          </w:tcPr>
          <w:p w:rsidR="00B7596B" w:rsidRPr="00B7596B" w:rsidRDefault="00B7596B" w:rsidP="000058A6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bookmarkStart w:id="1" w:name="_GoBack"/>
            <w:bookmarkEnd w:id="1"/>
            <w:r w:rsidRPr="00B7596B">
              <w:rPr>
                <w:rFonts w:eastAsia="Times New Roman"/>
                <w:bCs/>
                <w:color w:val="000000"/>
                <w:sz w:val="16"/>
                <w:szCs w:val="16"/>
              </w:rPr>
              <w:t>Studieboek (S)</w:t>
            </w:r>
          </w:p>
        </w:tc>
        <w:tc>
          <w:tcPr>
            <w:tcW w:w="4637" w:type="dxa"/>
          </w:tcPr>
          <w:p w:rsidR="00B7596B" w:rsidRPr="00B7596B" w:rsidRDefault="00CC23A4" w:rsidP="000058A6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door de uitgever bepaald</w:t>
            </w:r>
          </w:p>
        </w:tc>
      </w:tr>
      <w:tr w:rsidR="00B7596B" w:rsidRPr="00B7596B" w:rsidTr="00B7596B">
        <w:tc>
          <w:tcPr>
            <w:tcW w:w="2797" w:type="dxa"/>
          </w:tcPr>
          <w:p w:rsidR="00B7596B" w:rsidRPr="00B7596B" w:rsidRDefault="00B7596B" w:rsidP="000058A6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7596B">
              <w:rPr>
                <w:rFonts w:eastAsia="Times New Roman"/>
                <w:bCs/>
                <w:color w:val="000000"/>
                <w:sz w:val="16"/>
                <w:szCs w:val="16"/>
              </w:rPr>
              <w:t>Overig (O)</w:t>
            </w:r>
          </w:p>
        </w:tc>
        <w:tc>
          <w:tcPr>
            <w:tcW w:w="4637" w:type="dxa"/>
          </w:tcPr>
          <w:p w:rsidR="00B7596B" w:rsidRPr="00B7596B" w:rsidRDefault="00CC23A4" w:rsidP="000058A6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door de uitgever bepaald</w:t>
            </w:r>
          </w:p>
        </w:tc>
      </w:tr>
    </w:tbl>
    <w:p w:rsidR="00B7596B" w:rsidRPr="00B64752" w:rsidRDefault="00B7596B" w:rsidP="00B7596B">
      <w:pPr>
        <w:rPr>
          <w:rFonts w:eastAsia="Times New Roman"/>
          <w:bCs/>
          <w:color w:val="24406E"/>
          <w:sz w:val="19"/>
        </w:rPr>
      </w:pPr>
    </w:p>
    <w:p w:rsidR="00B7596B" w:rsidRPr="00B64752" w:rsidRDefault="00B7596B" w:rsidP="00B7596B">
      <w:pPr>
        <w:rPr>
          <w:rFonts w:eastAsia="Times New Roman"/>
          <w:bCs/>
          <w:color w:val="24406E"/>
          <w:sz w:val="19"/>
        </w:rPr>
      </w:pPr>
    </w:p>
    <w:p w:rsidR="00B7596B" w:rsidRPr="00B64752" w:rsidRDefault="00B7596B" w:rsidP="00B7596B">
      <w:pPr>
        <w:rPr>
          <w:rFonts w:eastAsia="Times New Roman"/>
          <w:bCs/>
          <w:i/>
          <w:color w:val="24406E"/>
          <w:sz w:val="19"/>
        </w:rPr>
      </w:pPr>
      <w:r w:rsidRPr="00B64752">
        <w:rPr>
          <w:rFonts w:eastAsia="Times New Roman"/>
          <w:bCs/>
          <w:i/>
          <w:color w:val="24406E"/>
          <w:sz w:val="19"/>
        </w:rPr>
        <w:t>Buitenlandstalige boeken</w:t>
      </w:r>
    </w:p>
    <w:p w:rsidR="00B7596B" w:rsidRPr="00B64752" w:rsidRDefault="00B7596B" w:rsidP="00B7596B">
      <w:pPr>
        <w:rPr>
          <w:rFonts w:eastAsia="Times New Roman"/>
          <w:bCs/>
          <w:color w:val="24406E"/>
          <w:sz w:val="19"/>
        </w:rPr>
      </w:pPr>
      <w:r w:rsidRPr="00B64752">
        <w:rPr>
          <w:rFonts w:eastAsia="Times New Roman"/>
          <w:bCs/>
          <w:color w:val="24406E"/>
          <w:sz w:val="19"/>
        </w:rPr>
        <w:t>Op buitenlandse boeken zijn andere kortingen van toepassing:</w:t>
      </w:r>
    </w:p>
    <w:p w:rsidR="00B7596B" w:rsidRPr="00B64752" w:rsidRDefault="00B7596B" w:rsidP="00B7596B">
      <w:pPr>
        <w:rPr>
          <w:rFonts w:eastAsia="Times New Roman"/>
          <w:bCs/>
          <w:color w:val="24406E"/>
          <w:sz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6"/>
        <w:gridCol w:w="4656"/>
      </w:tblGrid>
      <w:tr w:rsidR="00B7596B" w:rsidRPr="00B7596B" w:rsidTr="00B7596B">
        <w:tc>
          <w:tcPr>
            <w:tcW w:w="2776" w:type="dxa"/>
          </w:tcPr>
          <w:p w:rsidR="00B7596B" w:rsidRPr="00B7596B" w:rsidRDefault="00B7596B" w:rsidP="000058A6">
            <w:pPr>
              <w:rPr>
                <w:rFonts w:eastAsia="Times New Roman"/>
                <w:bCs/>
                <w:i/>
                <w:color w:val="000000"/>
                <w:sz w:val="16"/>
                <w:szCs w:val="16"/>
              </w:rPr>
            </w:pPr>
            <w:r w:rsidRPr="00B7596B">
              <w:rPr>
                <w:rFonts w:eastAsia="Times New Roman"/>
                <w:bCs/>
                <w:i/>
                <w:color w:val="000000"/>
                <w:sz w:val="16"/>
                <w:szCs w:val="16"/>
              </w:rPr>
              <w:t>Boeksoort</w:t>
            </w:r>
          </w:p>
        </w:tc>
        <w:tc>
          <w:tcPr>
            <w:tcW w:w="4656" w:type="dxa"/>
          </w:tcPr>
          <w:p w:rsidR="00B7596B" w:rsidRPr="00B7596B" w:rsidRDefault="00B7596B" w:rsidP="000058A6">
            <w:pPr>
              <w:rPr>
                <w:rFonts w:eastAsia="Times New Roman"/>
                <w:bCs/>
                <w:i/>
                <w:color w:val="000000"/>
                <w:sz w:val="16"/>
                <w:szCs w:val="16"/>
              </w:rPr>
            </w:pPr>
            <w:r w:rsidRPr="00B7596B">
              <w:rPr>
                <w:rFonts w:eastAsia="Times New Roman"/>
                <w:bCs/>
                <w:i/>
                <w:color w:val="000000"/>
                <w:sz w:val="16"/>
                <w:szCs w:val="16"/>
              </w:rPr>
              <w:t>Uw korting</w:t>
            </w:r>
          </w:p>
        </w:tc>
      </w:tr>
      <w:tr w:rsidR="00B7596B" w:rsidRPr="00B7596B" w:rsidTr="00B7596B">
        <w:tc>
          <w:tcPr>
            <w:tcW w:w="2776" w:type="dxa"/>
          </w:tcPr>
          <w:p w:rsidR="00B7596B" w:rsidRPr="00B7596B" w:rsidRDefault="00B7596B" w:rsidP="000058A6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7596B">
              <w:rPr>
                <w:rFonts w:eastAsia="Times New Roman"/>
                <w:bCs/>
                <w:color w:val="000000"/>
                <w:sz w:val="16"/>
                <w:szCs w:val="16"/>
              </w:rPr>
              <w:t>Algemeen boek (A)</w:t>
            </w:r>
          </w:p>
        </w:tc>
        <w:tc>
          <w:tcPr>
            <w:tcW w:w="4656" w:type="dxa"/>
          </w:tcPr>
          <w:p w:rsidR="00B7596B" w:rsidRPr="00B7596B" w:rsidRDefault="00CC23A4" w:rsidP="000058A6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door de uitgever bepaald</w:t>
            </w:r>
          </w:p>
        </w:tc>
      </w:tr>
      <w:tr w:rsidR="00B7596B" w:rsidRPr="00B7596B" w:rsidTr="00B7596B">
        <w:tc>
          <w:tcPr>
            <w:tcW w:w="2776" w:type="dxa"/>
          </w:tcPr>
          <w:p w:rsidR="00B7596B" w:rsidRPr="00B7596B" w:rsidRDefault="00B7596B" w:rsidP="000058A6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7596B">
              <w:rPr>
                <w:rFonts w:eastAsia="Times New Roman"/>
                <w:bCs/>
                <w:color w:val="000000"/>
                <w:sz w:val="16"/>
                <w:szCs w:val="16"/>
              </w:rPr>
              <w:t>Wetenschappelijk boek (W)</w:t>
            </w:r>
          </w:p>
        </w:tc>
        <w:tc>
          <w:tcPr>
            <w:tcW w:w="4656" w:type="dxa"/>
          </w:tcPr>
          <w:p w:rsidR="00B7596B" w:rsidRPr="00B7596B" w:rsidRDefault="00CC23A4" w:rsidP="000058A6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door de uitgever bepaald</w:t>
            </w:r>
          </w:p>
        </w:tc>
      </w:tr>
      <w:tr w:rsidR="00B7596B" w:rsidRPr="00B7596B" w:rsidTr="00B7596B">
        <w:tc>
          <w:tcPr>
            <w:tcW w:w="2776" w:type="dxa"/>
          </w:tcPr>
          <w:p w:rsidR="00B7596B" w:rsidRPr="00B7596B" w:rsidRDefault="00B7596B" w:rsidP="000058A6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7596B">
              <w:rPr>
                <w:rFonts w:eastAsia="Times New Roman"/>
                <w:bCs/>
                <w:color w:val="000000"/>
                <w:sz w:val="16"/>
                <w:szCs w:val="16"/>
              </w:rPr>
              <w:t>Overig (O)</w:t>
            </w:r>
          </w:p>
        </w:tc>
        <w:tc>
          <w:tcPr>
            <w:tcW w:w="4656" w:type="dxa"/>
          </w:tcPr>
          <w:p w:rsidR="00B7596B" w:rsidRPr="00B7596B" w:rsidRDefault="00CC23A4" w:rsidP="00CC23A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door de uitgever bepaald</w:t>
            </w:r>
          </w:p>
        </w:tc>
      </w:tr>
    </w:tbl>
    <w:p w:rsidR="00B7596B" w:rsidRPr="00B64752" w:rsidRDefault="00B7596B" w:rsidP="00B7596B">
      <w:pPr>
        <w:rPr>
          <w:rFonts w:eastAsia="Times New Roman"/>
          <w:bCs/>
          <w:color w:val="24406E"/>
          <w:sz w:val="19"/>
        </w:rPr>
      </w:pPr>
    </w:p>
    <w:p w:rsidR="00B7596B" w:rsidRDefault="00B7596B" w:rsidP="00B7596B">
      <w:pPr>
        <w:rPr>
          <w:rFonts w:eastAsia="Times New Roman"/>
          <w:bCs/>
          <w:color w:val="24406E"/>
          <w:sz w:val="19"/>
        </w:rPr>
      </w:pPr>
      <w:r w:rsidRPr="00B64752">
        <w:rPr>
          <w:rFonts w:eastAsia="Times New Roman"/>
          <w:bCs/>
          <w:color w:val="24406E"/>
          <w:sz w:val="19"/>
        </w:rPr>
        <w:t>Welke boeksoort van toepassing is</w:t>
      </w:r>
      <w:r w:rsidR="00B020F9">
        <w:rPr>
          <w:rFonts w:eastAsia="Times New Roman"/>
          <w:bCs/>
          <w:color w:val="24406E"/>
          <w:sz w:val="19"/>
        </w:rPr>
        <w:t>,</w:t>
      </w:r>
      <w:r w:rsidRPr="00B64752">
        <w:rPr>
          <w:rFonts w:eastAsia="Times New Roman"/>
          <w:bCs/>
          <w:color w:val="24406E"/>
          <w:sz w:val="19"/>
        </w:rPr>
        <w:t xml:space="preserve"> kunt per titel terug te zien in ons bestelsysteem CB Online</w:t>
      </w:r>
      <w:r>
        <w:rPr>
          <w:rFonts w:eastAsia="Times New Roman"/>
          <w:bCs/>
          <w:color w:val="24406E"/>
          <w:sz w:val="19"/>
        </w:rPr>
        <w:t>.</w:t>
      </w:r>
    </w:p>
    <w:p w:rsidR="00B7596B" w:rsidRDefault="00B7596B" w:rsidP="00B7596B">
      <w:pPr>
        <w:rPr>
          <w:rFonts w:eastAsia="Times New Roman"/>
          <w:bCs/>
          <w:color w:val="24406E"/>
          <w:sz w:val="19"/>
        </w:rPr>
      </w:pPr>
    </w:p>
    <w:p w:rsidR="00B7596B" w:rsidRDefault="00B7596B" w:rsidP="00B7596B">
      <w:pPr>
        <w:rPr>
          <w:rFonts w:eastAsia="Times New Roman"/>
          <w:bCs/>
          <w:color w:val="24406E"/>
          <w:sz w:val="19"/>
        </w:rPr>
      </w:pPr>
    </w:p>
    <w:p w:rsidR="00B7596B" w:rsidRDefault="00B7596B" w:rsidP="00B7596B">
      <w:pPr>
        <w:rPr>
          <w:rFonts w:eastAsia="Times New Roman"/>
          <w:bCs/>
          <w:color w:val="24406E"/>
          <w:sz w:val="19"/>
        </w:rPr>
      </w:pPr>
    </w:p>
    <w:p w:rsidR="00B31598" w:rsidRPr="00B7596B" w:rsidRDefault="00B31598" w:rsidP="00B7596B"/>
    <w:sectPr w:rsidR="00B31598" w:rsidRPr="00B7596B" w:rsidSect="000058A6">
      <w:headerReference w:type="first" r:id="rId7"/>
      <w:footerReference w:type="first" r:id="rId8"/>
      <w:pgSz w:w="11900" w:h="16840"/>
      <w:pgMar w:top="1531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A8" w:rsidRDefault="002D46A8" w:rsidP="00B7596B">
      <w:pPr>
        <w:spacing w:line="240" w:lineRule="auto"/>
      </w:pPr>
      <w:r>
        <w:separator/>
      </w:r>
    </w:p>
  </w:endnote>
  <w:endnote w:type="continuationSeparator" w:id="0">
    <w:p w:rsidR="002D46A8" w:rsidRDefault="002D46A8" w:rsidP="00B75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6B" w:rsidRPr="00B7596B" w:rsidRDefault="00CC23A4">
    <w:pPr>
      <w:pStyle w:val="Voettekst"/>
      <w:rPr>
        <w:sz w:val="16"/>
        <w:szCs w:val="16"/>
      </w:rPr>
    </w:pPr>
    <w:r>
      <w:rPr>
        <w:sz w:val="16"/>
        <w:szCs w:val="16"/>
      </w:rPr>
      <w:t>januari</w:t>
    </w:r>
    <w:r w:rsidR="00B7596B" w:rsidRPr="00B7596B">
      <w:rPr>
        <w:sz w:val="16"/>
        <w:szCs w:val="16"/>
      </w:rPr>
      <w:t xml:space="preserve"> </w:t>
    </w:r>
    <w:r>
      <w:rPr>
        <w:sz w:val="16"/>
        <w:szCs w:val="16"/>
      </w:rPr>
      <w:t>2018</w:t>
    </w:r>
    <w:r w:rsidR="00B7596B" w:rsidRPr="00B7596B">
      <w:rPr>
        <w:sz w:val="16"/>
        <w:szCs w:val="16"/>
      </w:rPr>
      <w:t>, wijzigingen voorbehouden</w:t>
    </w:r>
  </w:p>
  <w:p w:rsidR="00B7596B" w:rsidRDefault="00B7596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A8" w:rsidRDefault="002D46A8" w:rsidP="00B7596B">
      <w:pPr>
        <w:spacing w:line="240" w:lineRule="auto"/>
      </w:pPr>
      <w:r>
        <w:separator/>
      </w:r>
    </w:p>
  </w:footnote>
  <w:footnote w:type="continuationSeparator" w:id="0">
    <w:p w:rsidR="002D46A8" w:rsidRDefault="002D46A8" w:rsidP="00B75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A6" w:rsidRDefault="00CC23A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2850" cy="10672445"/>
          <wp:effectExtent l="0" t="0" r="0" b="0"/>
          <wp:wrapNone/>
          <wp:docPr id="1" name="Afbeelding 1" descr="bg_achterblad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_achterblad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7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45D7F"/>
    <w:multiLevelType w:val="multilevel"/>
    <w:tmpl w:val="F8686238"/>
    <w:lvl w:ilvl="0">
      <w:start w:val="1"/>
      <w:numFmt w:val="decimal"/>
      <w:pStyle w:val="Kop1"/>
      <w:lvlText w:val="%1."/>
      <w:lvlJc w:val="left"/>
      <w:pPr>
        <w:ind w:left="1078" w:firstLine="34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28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6B"/>
    <w:rsid w:val="000058A6"/>
    <w:rsid w:val="002D46A8"/>
    <w:rsid w:val="008F63F3"/>
    <w:rsid w:val="00B020F9"/>
    <w:rsid w:val="00B31598"/>
    <w:rsid w:val="00B7596B"/>
    <w:rsid w:val="00CC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15D483A5-4C17-41A7-B3A0-D5C18B11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96B"/>
    <w:pPr>
      <w:spacing w:line="250" w:lineRule="atLeast"/>
    </w:pPr>
    <w:rPr>
      <w:rFonts w:ascii="Arial" w:eastAsia="Calibri" w:hAnsi="Arial"/>
      <w:sz w:val="18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7596B"/>
    <w:pPr>
      <w:keepNext/>
      <w:keepLines/>
      <w:pageBreakBefore/>
      <w:numPr>
        <w:numId w:val="1"/>
      </w:numPr>
      <w:spacing w:after="500" w:line="480" w:lineRule="atLeast"/>
      <w:ind w:left="397" w:hanging="397"/>
      <w:outlineLvl w:val="0"/>
    </w:pPr>
    <w:rPr>
      <w:rFonts w:eastAsia="Times New Roman"/>
      <w:bCs/>
      <w:color w:val="00AEDC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596B"/>
    <w:pPr>
      <w:keepNext/>
      <w:keepLines/>
      <w:numPr>
        <w:ilvl w:val="1"/>
        <w:numId w:val="1"/>
      </w:numPr>
      <w:spacing w:before="250"/>
      <w:ind w:left="397" w:hanging="397"/>
      <w:outlineLvl w:val="1"/>
    </w:pPr>
    <w:rPr>
      <w:rFonts w:eastAsia="Times New Roman"/>
      <w:b/>
      <w:bCs/>
      <w:color w:val="24406E"/>
      <w:sz w:val="1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596B"/>
    <w:rPr>
      <w:rFonts w:ascii="Arial" w:eastAsia="Times New Roman" w:hAnsi="Arial" w:cs="Times New Roman"/>
      <w:bCs/>
      <w:color w:val="00AEDC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B7596B"/>
    <w:rPr>
      <w:rFonts w:ascii="Arial" w:eastAsia="Times New Roman" w:hAnsi="Arial" w:cs="Times New Roman"/>
      <w:b/>
      <w:bCs/>
      <w:color w:val="24406E"/>
      <w:sz w:val="19"/>
      <w:szCs w:val="26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B7596B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7596B"/>
    <w:rPr>
      <w:rFonts w:ascii="Arial" w:eastAsia="Calibri" w:hAnsi="Arial" w:cs="Times New Roman"/>
      <w:sz w:val="18"/>
      <w:szCs w:val="24"/>
      <w:lang w:eastAsia="en-US"/>
    </w:rPr>
  </w:style>
  <w:style w:type="table" w:styleId="Tabelraster">
    <w:name w:val="Table Grid"/>
    <w:basedOn w:val="Standaardtabel"/>
    <w:uiPriority w:val="59"/>
    <w:rsid w:val="00B7596B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7596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596B"/>
    <w:rPr>
      <w:rFonts w:ascii="Arial" w:eastAsia="Calibri" w:hAnsi="Arial" w:cs="Times New Roman"/>
      <w:sz w:val="18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59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96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4AE4B6EC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Centraal Boekhuis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zeema</dc:creator>
  <cp:keywords/>
  <cp:lastModifiedBy>Kolen, Margreet</cp:lastModifiedBy>
  <cp:revision>2</cp:revision>
  <dcterms:created xsi:type="dcterms:W3CDTF">2017-11-16T15:40:00Z</dcterms:created>
  <dcterms:modified xsi:type="dcterms:W3CDTF">2017-11-16T15:40:00Z</dcterms:modified>
</cp:coreProperties>
</file>